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86E" w:rsidRDefault="002A3E5D" w:rsidP="002A3E5D">
      <w:pPr>
        <w:jc w:val="center"/>
        <w:rPr>
          <w:rFonts w:ascii="Times New Roman" w:hAnsi="Times New Roman"/>
          <w:bCs/>
        </w:rPr>
      </w:pPr>
      <w:r w:rsidRPr="002A3E5D">
        <w:rPr>
          <w:rFonts w:ascii="Times New Roman" w:hAnsi="Times New Roman"/>
          <w:b/>
          <w:bCs/>
          <w:lang w:val="sr-Cyrl-CS"/>
        </w:rPr>
        <w:t>Табела 5.2.</w:t>
      </w:r>
      <w:r w:rsidRPr="002A3E5D">
        <w:rPr>
          <w:rFonts w:ascii="Times New Roman" w:hAnsi="Times New Roman"/>
          <w:bCs/>
          <w:lang w:val="sr-Cyrl-CS"/>
        </w:rPr>
        <w:t xml:space="preserve"> Спецификација предмета</w:t>
      </w:r>
    </w:p>
    <w:p w:rsidR="002A3E5D" w:rsidRPr="00D72AD7" w:rsidRDefault="002A3E5D" w:rsidP="002A3E5D">
      <w:pPr>
        <w:jc w:val="center"/>
        <w:rPr>
          <w:rFonts w:ascii="Times New Roman" w:hAnsi="Times New Roman"/>
          <w:bCs/>
          <w:sz w:val="16"/>
          <w:szCs w:val="16"/>
          <w:lang w:val="ru-RU"/>
        </w:rPr>
      </w:pPr>
    </w:p>
    <w:tbl>
      <w:tblPr>
        <w:tblW w:w="51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3"/>
        <w:gridCol w:w="2242"/>
        <w:gridCol w:w="1339"/>
        <w:gridCol w:w="2334"/>
        <w:gridCol w:w="1431"/>
      </w:tblGrid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C02828" w:rsidRDefault="00C02828" w:rsidP="00C02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2A3E5D"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D72A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747F"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747F">
              <w:rPr>
                <w:rFonts w:ascii="Times New Roman" w:hAnsi="Times New Roman"/>
                <w:sz w:val="20"/>
                <w:szCs w:val="20"/>
              </w:rPr>
              <w:t>аналитик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747F">
              <w:rPr>
                <w:rFonts w:ascii="Times New Roman" w:hAnsi="Times New Roman"/>
                <w:sz w:val="20"/>
                <w:szCs w:val="20"/>
              </w:rPr>
              <w:t>аподатака</w:t>
            </w:r>
            <w:proofErr w:type="spellEnd"/>
            <w:r w:rsidRPr="00B6747F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B6747F"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5A31D8" w:rsidRDefault="002A3E5D" w:rsidP="00F317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proofErr w:type="spellStart"/>
            <w:r w:rsidR="00F3178B" w:rsidRPr="00D72AD7">
              <w:rPr>
                <w:rFonts w:ascii="Times New Roman" w:hAnsi="Times New Roman"/>
                <w:b/>
                <w:sz w:val="20"/>
                <w:szCs w:val="20"/>
              </w:rPr>
              <w:t>Прогноз</w:t>
            </w:r>
            <w:r w:rsidR="009506BE" w:rsidRPr="00D72AD7">
              <w:rPr>
                <w:rFonts w:ascii="Times New Roman" w:hAnsi="Times New Roman"/>
                <w:b/>
                <w:sz w:val="20"/>
                <w:szCs w:val="20"/>
              </w:rPr>
              <w:t>ирање</w:t>
            </w:r>
            <w:proofErr w:type="spellEnd"/>
            <w:r w:rsidR="00D72AD7" w:rsidRPr="00D72A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F3178B" w:rsidRPr="00D72AD7">
              <w:rPr>
                <w:rFonts w:ascii="Times New Roman" w:hAnsi="Times New Roman"/>
                <w:b/>
                <w:sz w:val="20"/>
                <w:szCs w:val="20"/>
              </w:rPr>
              <w:t>временских</w:t>
            </w:r>
            <w:proofErr w:type="spellEnd"/>
            <w:r w:rsidR="00D72AD7" w:rsidRPr="00D72A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F3178B" w:rsidRPr="00D72AD7">
              <w:rPr>
                <w:rFonts w:ascii="Times New Roman" w:hAnsi="Times New Roman"/>
                <w:b/>
                <w:sz w:val="20"/>
                <w:szCs w:val="20"/>
              </w:rPr>
              <w:t>серија</w:t>
            </w:r>
            <w:proofErr w:type="spellEnd"/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2A3E5D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A3E5D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D72A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72AD7">
              <w:rPr>
                <w:rFonts w:ascii="Times New Roman" w:hAnsi="Times New Roman"/>
                <w:sz w:val="20"/>
                <w:szCs w:val="20"/>
                <w:lang w:val="sr-Cyrl-CS"/>
              </w:rPr>
              <w:t>др Винко Лепојевић, д</w:t>
            </w:r>
            <w:r w:rsidR="005A31D8" w:rsidRPr="00B6747F">
              <w:rPr>
                <w:rFonts w:ascii="Times New Roman" w:hAnsi="Times New Roman"/>
                <w:sz w:val="20"/>
                <w:szCs w:val="20"/>
                <w:lang w:val="sr-Cyrl-CS"/>
              </w:rPr>
              <w:t>р Весна Јанковић Милић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5A31D8" w:rsidRDefault="002A3E5D" w:rsidP="00C028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D72AD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C02828" w:rsidRPr="00B6747F">
              <w:rPr>
                <w:rFonts w:ascii="Times New Roman" w:hAnsi="Times New Roman"/>
                <w:sz w:val="20"/>
                <w:szCs w:val="20"/>
                <w:lang w:val="sr-Cyrl-CS"/>
              </w:rPr>
              <w:t>Обавезни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858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2858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8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D72AD7" w:rsidRDefault="002A3E5D" w:rsidP="00D72AD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D72AD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D72AD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Одслушан предмет Програмирање за пословне примене 1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2A3E5D" w:rsidRPr="008F50C8" w:rsidRDefault="00D343A4" w:rsidP="0014311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Овладавање</w:t>
            </w:r>
            <w:r w:rsidR="00143113" w:rsidRPr="001431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моделима и методама у анализи и прогнози</w:t>
            </w:r>
            <w:r w:rsidR="001431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рању временских серија и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припрема студената</w:t>
            </w:r>
            <w:r w:rsidR="00143113" w:rsidRPr="001431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за примену стечених знања </w:t>
            </w:r>
            <w:r w:rsidR="001431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на податке из</w:t>
            </w:r>
            <w:r w:rsidR="00143113" w:rsidRPr="0014311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различитих области економије.</w:t>
            </w:r>
            <w:r w:rsidR="00D72AD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DB62A1">
              <w:rPr>
                <w:rFonts w:ascii="Times New Roman" w:hAnsi="Times New Roman"/>
                <w:bCs/>
                <w:sz w:val="20"/>
                <w:szCs w:val="20"/>
              </w:rPr>
              <w:t>Овај</w:t>
            </w:r>
            <w:proofErr w:type="spellEnd"/>
            <w:r w:rsidR="00DB62A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B62A1">
              <w:rPr>
                <w:rFonts w:ascii="Times New Roman" w:hAnsi="Times New Roman"/>
                <w:bCs/>
                <w:sz w:val="20"/>
                <w:szCs w:val="20"/>
              </w:rPr>
              <w:t>предмет</w:t>
            </w:r>
            <w:proofErr w:type="spellEnd"/>
            <w:r w:rsidR="00DB62A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нуди свеобухватан </w:t>
            </w:r>
            <w:r w:rsidR="00B618B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приступ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напредно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моделирањ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временских серија. </w:t>
            </w:r>
            <w:r w:rsidR="00B618B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могу овладати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различит</w:t>
            </w:r>
            <w:r w:rsidR="00B618B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им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аналитичк</w:t>
            </w:r>
            <w:r w:rsidR="00B618B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им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алат</w:t>
            </w:r>
            <w:r w:rsidR="00B618B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има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који ће </w:t>
            </w:r>
            <w:r w:rsidR="00B618B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им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омогућити да </w:t>
            </w:r>
            <w:r w:rsidR="00B618B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разумеју</w:t>
            </w:r>
            <w:r w:rsidR="00D72AD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B618B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временске серије</w:t>
            </w:r>
            <w:r w:rsidR="00DB62A1" w:rsidRPr="00DB62A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143113" w:rsidRPr="00143113" w:rsidRDefault="00143113" w:rsidP="0014311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311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Након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овог предмета </w:t>
            </w:r>
            <w:r w:rsidRPr="00143113">
              <w:rPr>
                <w:rFonts w:ascii="Times New Roman" w:hAnsi="Times New Roman"/>
                <w:sz w:val="20"/>
                <w:szCs w:val="20"/>
                <w:lang w:val="sr-Cyrl-CS"/>
              </w:rPr>
              <w:t>студенти ће моћи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да</w:t>
            </w:r>
            <w:r w:rsidRPr="00143113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</w:p>
          <w:p w:rsidR="00143113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Користе програмск</w:t>
            </w:r>
            <w:r w:rsidR="0042178C" w:rsidRPr="00EE3D63">
              <w:rPr>
                <w:rFonts w:ascii="Times New Roman" w:hAnsi="Times New Roman"/>
                <w:sz w:val="20"/>
                <w:szCs w:val="20"/>
              </w:rPr>
              <w:t>и</w:t>
            </w:r>
            <w:r w:rsidRPr="00EE3D63">
              <w:rPr>
                <w:rFonts w:ascii="Times New Roman" w:hAnsi="Times New Roman"/>
                <w:sz w:val="20"/>
                <w:szCs w:val="20"/>
              </w:rPr>
              <w:t xml:space="preserve"> језик  </w:t>
            </w:r>
            <w:r w:rsidRPr="00EE3D63">
              <w:rPr>
                <w:rFonts w:ascii="Times New Roman" w:hAnsi="Times New Roman"/>
                <w:i/>
                <w:sz w:val="20"/>
                <w:szCs w:val="20"/>
              </w:rPr>
              <w:t>Python</w:t>
            </w:r>
            <w:r w:rsidRPr="00EE3D63">
              <w:rPr>
                <w:rFonts w:ascii="Times New Roman" w:hAnsi="Times New Roman"/>
                <w:sz w:val="20"/>
                <w:szCs w:val="20"/>
              </w:rPr>
              <w:t xml:space="preserve"> за спровођење анализа података заснованих на времену и датуму;</w:t>
            </w:r>
          </w:p>
          <w:p w:rsidR="00143113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Креирају моделе за податке временских серија;</w:t>
            </w:r>
          </w:p>
          <w:p w:rsidR="00143113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Користе моделе за предвиђање;</w:t>
            </w:r>
          </w:p>
          <w:p w:rsidR="00143113" w:rsidRPr="00EE3D63" w:rsidRDefault="00915D01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 xml:space="preserve">Изаберу </w:t>
            </w:r>
            <w:r w:rsidR="00143113" w:rsidRPr="00EE3D63">
              <w:rPr>
                <w:rFonts w:ascii="Times New Roman" w:hAnsi="Times New Roman"/>
                <w:sz w:val="20"/>
                <w:szCs w:val="20"/>
              </w:rPr>
              <w:t>модел</w:t>
            </w:r>
            <w:r w:rsidRPr="00EE3D63">
              <w:rPr>
                <w:rFonts w:ascii="Times New Roman" w:hAnsi="Times New Roman"/>
                <w:sz w:val="20"/>
                <w:szCs w:val="20"/>
              </w:rPr>
              <w:t>е погодне</w:t>
            </w:r>
            <w:r w:rsidR="00143113" w:rsidRPr="00EE3D63">
              <w:rPr>
                <w:rFonts w:ascii="Times New Roman" w:hAnsi="Times New Roman"/>
                <w:sz w:val="20"/>
                <w:szCs w:val="20"/>
              </w:rPr>
              <w:t xml:space="preserve"> за одређени скуп података;</w:t>
            </w:r>
          </w:p>
          <w:p w:rsidR="00143113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Визуализују податке временских серија;</w:t>
            </w:r>
          </w:p>
          <w:p w:rsidR="00143113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Трансформишу стандардне податке у формат временских серија;</w:t>
            </w:r>
          </w:p>
          <w:p w:rsidR="00143113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Припреме податке временског низа за анализу;</w:t>
            </w:r>
          </w:p>
          <w:p w:rsidR="00143113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Креирају АРИМА и експоненцијалне моделе изравнавања;</w:t>
            </w:r>
          </w:p>
          <w:p w:rsidR="00143113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Препознају најбоље базе временских серија за одређени проблем;</w:t>
            </w:r>
          </w:p>
          <w:p w:rsidR="002A3E5D" w:rsidRPr="00EE3D63" w:rsidRDefault="00143113" w:rsidP="00EE3D63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spacing w:after="60"/>
              <w:ind w:left="412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3D63">
              <w:rPr>
                <w:rFonts w:ascii="Times New Roman" w:hAnsi="Times New Roman"/>
                <w:sz w:val="20"/>
                <w:szCs w:val="20"/>
              </w:rPr>
              <w:t>Упореде тачност различитих модела.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2A3E5D" w:rsidRPr="00265A98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8F50C8" w:rsidRPr="00143113" w:rsidRDefault="00143113" w:rsidP="00D72AD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14311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Рад са скуповима података и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временским серијама </w:t>
            </w:r>
            <w:r w:rsidRPr="0014311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у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програмск</w:t>
            </w:r>
            <w:r w:rsidR="004217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ом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јези</w:t>
            </w:r>
            <w:r w:rsidR="004217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ку</w:t>
            </w:r>
            <w:r w:rsidR="00D72AD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143113">
              <w:rPr>
                <w:rFonts w:ascii="Times New Roman" w:hAnsi="Times New Roman"/>
                <w:i/>
                <w:iCs/>
                <w:sz w:val="20"/>
                <w:szCs w:val="20"/>
              </w:rPr>
              <w:t>Python</w:t>
            </w:r>
            <w:r w:rsidR="00D72AD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,</w:t>
            </w:r>
            <w:r w:rsidRPr="0014311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Припрема за анализу</w:t>
            </w:r>
            <w:r w:rsidRPr="0014311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и визуализација података времен</w:t>
            </w:r>
            <w:r w:rsidR="006934F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ских серија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, Статистичке основе</w:t>
            </w:r>
            <w:r w:rsidRPr="0014311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за анализу и предвиђање временских сериј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а, АРИМА модели, Мултиваријациона</w:t>
            </w:r>
            <w:r w:rsidRPr="0014311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анализа временских серија, Неуронске мреже у анализи временских серија.</w:t>
            </w:r>
          </w:p>
          <w:p w:rsidR="00534174" w:rsidRDefault="002A3E5D" w:rsidP="005341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265A9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2A3E5D" w:rsidRPr="00915D01" w:rsidRDefault="00143113" w:rsidP="00D72AD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3113">
              <w:rPr>
                <w:rFonts w:ascii="Times New Roman" w:hAnsi="Times New Roman"/>
                <w:sz w:val="20"/>
                <w:szCs w:val="20"/>
              </w:rPr>
              <w:t>Примена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113">
              <w:rPr>
                <w:rFonts w:ascii="Times New Roman" w:hAnsi="Times New Roman"/>
                <w:sz w:val="20"/>
                <w:szCs w:val="20"/>
              </w:rPr>
              <w:t>метода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анализе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креирање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одговарајућих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модела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113">
              <w:rPr>
                <w:rFonts w:ascii="Times New Roman" w:hAnsi="Times New Roman"/>
                <w:sz w:val="20"/>
                <w:szCs w:val="20"/>
              </w:rPr>
              <w:t>временских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113">
              <w:rPr>
                <w:rFonts w:ascii="Times New Roman" w:hAnsi="Times New Roman"/>
                <w:sz w:val="20"/>
                <w:szCs w:val="20"/>
              </w:rPr>
              <w:t>серија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циљу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спровођења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адекватних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прогноза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базирано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113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113">
              <w:rPr>
                <w:rFonts w:ascii="Times New Roman" w:hAnsi="Times New Roman"/>
                <w:sz w:val="20"/>
                <w:szCs w:val="20"/>
              </w:rPr>
              <w:t>конкретним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3113">
              <w:rPr>
                <w:rFonts w:ascii="Times New Roman" w:hAnsi="Times New Roman"/>
                <w:sz w:val="20"/>
                <w:szCs w:val="20"/>
              </w:rPr>
              <w:t>подацима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употребу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програмск</w:t>
            </w:r>
            <w:r w:rsidR="0042178C">
              <w:rPr>
                <w:rFonts w:ascii="Times New Roman" w:hAnsi="Times New Roman"/>
                <w:sz w:val="20"/>
                <w:szCs w:val="20"/>
              </w:rPr>
              <w:t>ог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језика</w:t>
            </w:r>
            <w:proofErr w:type="spellEnd"/>
            <w:r w:rsidR="00D72A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3113">
              <w:rPr>
                <w:rFonts w:ascii="Times New Roman" w:hAnsi="Times New Roman"/>
                <w:i/>
                <w:iCs/>
                <w:sz w:val="20"/>
                <w:szCs w:val="20"/>
              </w:rPr>
              <w:t>Python</w:t>
            </w:r>
            <w:r w:rsidR="00D343A4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</w:tr>
      <w:tr w:rsidR="002A3E5D" w:rsidRPr="00AD7867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AD7867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 xml:space="preserve">Литература </w:t>
            </w:r>
          </w:p>
          <w:p w:rsidR="00143113" w:rsidRPr="003E52EE" w:rsidRDefault="00143113" w:rsidP="00AB6157">
            <w:pPr>
              <w:pStyle w:val="ListParagraph"/>
              <w:numPr>
                <w:ilvl w:val="0"/>
                <w:numId w:val="3"/>
              </w:numPr>
              <w:spacing w:after="60"/>
              <w:ind w:left="408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E52EE">
              <w:rPr>
                <w:rFonts w:ascii="Times New Roman" w:hAnsi="Times New Roman"/>
                <w:noProof/>
                <w:sz w:val="20"/>
                <w:szCs w:val="20"/>
              </w:rPr>
              <w:t>Brooks, C. М. (20</w:t>
            </w:r>
            <w:r w:rsidR="00B618BE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14</w:t>
            </w:r>
            <w:r w:rsidRPr="003E52EE">
              <w:rPr>
                <w:rFonts w:ascii="Times New Roman" w:hAnsi="Times New Roman"/>
                <w:noProof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  <w:r w:rsidR="00132788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3E52EE">
              <w:rPr>
                <w:rFonts w:ascii="Times New Roman" w:eastAsiaTheme="minorHAnsi" w:hAnsi="Times New Roman"/>
                <w:bCs/>
                <w:i/>
                <w:sz w:val="20"/>
                <w:szCs w:val="20"/>
                <w:lang w:val="en-US"/>
              </w:rPr>
              <w:t>Introductory</w:t>
            </w:r>
            <w:r w:rsidR="00132788">
              <w:rPr>
                <w:rFonts w:ascii="Times New Roman" w:eastAsiaTheme="minorHAnsi" w:hAnsi="Times New Roma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E52EE">
              <w:rPr>
                <w:rFonts w:ascii="Times New Roman" w:eastAsiaTheme="minorHAnsi" w:hAnsi="Times New Roman"/>
                <w:bCs/>
                <w:i/>
                <w:sz w:val="20"/>
                <w:szCs w:val="20"/>
                <w:lang w:val="en-US"/>
              </w:rPr>
              <w:t>Econometrics</w:t>
            </w:r>
            <w:r w:rsidR="00132788">
              <w:rPr>
                <w:rFonts w:ascii="Times New Roman" w:eastAsiaTheme="minorHAnsi" w:hAnsi="Times New Roman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3E52EE">
              <w:rPr>
                <w:rFonts w:ascii="Times New Roman" w:eastAsiaTheme="minorHAnsi" w:hAnsi="Times New Roman"/>
                <w:bCs/>
                <w:i/>
                <w:sz w:val="20"/>
                <w:szCs w:val="20"/>
                <w:lang w:val="en-US"/>
              </w:rPr>
              <w:t xml:space="preserve"> for</w:t>
            </w:r>
            <w:proofErr w:type="gramEnd"/>
            <w:r w:rsidRPr="003E52EE">
              <w:rPr>
                <w:rFonts w:ascii="Times New Roman" w:eastAsiaTheme="minorHAnsi" w:hAnsi="Times New Roman"/>
                <w:bCs/>
                <w:i/>
                <w:sz w:val="20"/>
                <w:szCs w:val="20"/>
                <w:lang w:val="en-US"/>
              </w:rPr>
              <w:t xml:space="preserve"> Finance</w:t>
            </w:r>
            <w:r w:rsidR="00B618BE" w:rsidRPr="00143113">
              <w:rPr>
                <w:rFonts w:ascii="Times New Roman" w:hAnsi="Times New Roman"/>
                <w:sz w:val="20"/>
                <w:szCs w:val="20"/>
              </w:rPr>
              <w:t xml:space="preserve"> [</w:t>
            </w:r>
            <w:r w:rsidR="00B618BE">
              <w:rPr>
                <w:rFonts w:ascii="Times New Roman" w:hAnsi="Times New Roman"/>
                <w:sz w:val="20"/>
                <w:szCs w:val="20"/>
                <w:lang w:val="en-US"/>
              </w:rPr>
              <w:t>3rd</w:t>
            </w:r>
            <w:r w:rsidR="00B618BE" w:rsidRPr="00143113">
              <w:rPr>
                <w:rFonts w:ascii="Times New Roman" w:hAnsi="Times New Roman"/>
                <w:sz w:val="20"/>
                <w:szCs w:val="20"/>
              </w:rPr>
              <w:t xml:space="preserve"> Edition]</w:t>
            </w:r>
            <w:r w:rsidR="00B618BE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3E52EE">
              <w:rPr>
                <w:rFonts w:ascii="Times New Roman" w:eastAsiaTheme="minorHAnsi" w:hAnsi="Times New Roman"/>
                <w:sz w:val="20"/>
                <w:szCs w:val="20"/>
                <w:lang w:val="en-US"/>
              </w:rPr>
              <w:t>Cambridge University Press.</w:t>
            </w:r>
          </w:p>
          <w:p w:rsidR="00143113" w:rsidRPr="00164BFC" w:rsidRDefault="00164BFC" w:rsidP="00AB6157">
            <w:pPr>
              <w:pStyle w:val="ListParagraph"/>
              <w:numPr>
                <w:ilvl w:val="0"/>
                <w:numId w:val="3"/>
              </w:numPr>
              <w:spacing w:after="60"/>
              <w:ind w:left="408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64BF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Montgomery, D., Jennings, C., </w:t>
            </w:r>
            <w:proofErr w:type="spellStart"/>
            <w:r w:rsidRPr="00164BF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Kulachi</w:t>
            </w:r>
            <w:proofErr w:type="spellEnd"/>
            <w:r w:rsidRPr="00164BF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M</w:t>
            </w:r>
            <w:proofErr w:type="gramStart"/>
            <w:r w:rsidRPr="00164BFC">
              <w:rPr>
                <w:rFonts w:ascii="Times New Roman" w:hAnsi="Times New Roman"/>
                <w:bCs/>
                <w:sz w:val="18"/>
                <w:szCs w:val="20"/>
              </w:rPr>
              <w:t>.</w:t>
            </w:r>
            <w:r>
              <w:rPr>
                <w:sz w:val="20"/>
                <w:lang w:val="en-US"/>
              </w:rPr>
              <w:t>(</w:t>
            </w:r>
            <w:proofErr w:type="gramEnd"/>
            <w:r>
              <w:rPr>
                <w:sz w:val="20"/>
                <w:lang w:val="en-US"/>
              </w:rPr>
              <w:t xml:space="preserve">2015). </w:t>
            </w:r>
            <w:r w:rsidRPr="00164BFC">
              <w:rPr>
                <w:rFonts w:ascii="Times New Roman" w:hAnsi="Times New Roman"/>
                <w:bCs/>
                <w:i/>
                <w:sz w:val="18"/>
                <w:szCs w:val="20"/>
              </w:rPr>
              <w:t xml:space="preserve">Introduction </w:t>
            </w:r>
            <w:r w:rsidRPr="00164BFC">
              <w:rPr>
                <w:rFonts w:ascii="Times New Roman" w:hAnsi="Times New Roman"/>
                <w:bCs/>
                <w:i/>
                <w:sz w:val="18"/>
                <w:szCs w:val="20"/>
                <w:lang w:val="en-US"/>
              </w:rPr>
              <w:t>t</w:t>
            </w:r>
            <w:r w:rsidRPr="00164BFC">
              <w:rPr>
                <w:rFonts w:ascii="Times New Roman" w:hAnsi="Times New Roman"/>
                <w:bCs/>
                <w:i/>
                <w:sz w:val="18"/>
                <w:szCs w:val="20"/>
              </w:rPr>
              <w:t>o</w:t>
            </w:r>
            <w:r w:rsidRPr="00164BFC">
              <w:rPr>
                <w:rFonts w:ascii="Times New Roman" w:hAnsi="Times New Roman"/>
                <w:bCs/>
                <w:i/>
                <w:sz w:val="18"/>
                <w:szCs w:val="20"/>
                <w:lang w:val="en-US"/>
              </w:rPr>
              <w:t xml:space="preserve"> T</w:t>
            </w:r>
            <w:r w:rsidRPr="00164BFC">
              <w:rPr>
                <w:rFonts w:ascii="Times New Roman" w:hAnsi="Times New Roman"/>
                <w:bCs/>
                <w:i/>
                <w:sz w:val="18"/>
                <w:szCs w:val="20"/>
              </w:rPr>
              <w:t>ime Series Analysis</w:t>
            </w:r>
            <w:r w:rsidRPr="00164BFC">
              <w:rPr>
                <w:rFonts w:ascii="Times New Roman" w:hAnsi="Times New Roman"/>
                <w:bCs/>
                <w:i/>
                <w:sz w:val="18"/>
                <w:szCs w:val="20"/>
                <w:lang w:val="en-US"/>
              </w:rPr>
              <w:t xml:space="preserve"> a</w:t>
            </w:r>
            <w:r w:rsidRPr="00164BFC">
              <w:rPr>
                <w:rFonts w:ascii="Times New Roman" w:hAnsi="Times New Roman"/>
                <w:bCs/>
                <w:i/>
                <w:sz w:val="18"/>
                <w:szCs w:val="20"/>
              </w:rPr>
              <w:t>nd Forecasting</w:t>
            </w:r>
            <w:r>
              <w:rPr>
                <w:rFonts w:ascii="Times New Roman" w:hAnsi="Times New Roman"/>
                <w:bCs/>
                <w:sz w:val="18"/>
                <w:szCs w:val="20"/>
                <w:lang w:val="en-US"/>
              </w:rPr>
              <w:t>, Wiley</w:t>
            </w:r>
          </w:p>
          <w:p w:rsidR="00143113" w:rsidRPr="00143113" w:rsidRDefault="00143113" w:rsidP="00B408CF">
            <w:pPr>
              <w:pStyle w:val="ListParagraph"/>
              <w:numPr>
                <w:ilvl w:val="0"/>
                <w:numId w:val="3"/>
              </w:numPr>
              <w:spacing w:after="60"/>
              <w:ind w:left="412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Mather, B. (2019). </w:t>
            </w:r>
            <w:r w:rsidRPr="00143113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Time Series with Python: How to Implement Time Series Analysis and Forecasting Using Python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Kindle Edition.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B408CF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r w:rsidR="008F50C8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637" w:type="pct"/>
            <w:gridSpan w:val="2"/>
            <w:vAlign w:val="center"/>
          </w:tcPr>
          <w:p w:rsidR="002A3E5D" w:rsidRPr="00000A99" w:rsidRDefault="002A3E5D" w:rsidP="00000A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B408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000A9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721" w:type="pct"/>
            <w:gridSpan w:val="2"/>
            <w:vAlign w:val="center"/>
          </w:tcPr>
          <w:p w:rsidR="002A3E5D" w:rsidRPr="0028586E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3E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2858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00A9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2A3E5D" w:rsidRPr="002A3E5D" w:rsidRDefault="00143113" w:rsidP="0014311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3113"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дијалог, граф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ички</w:t>
            </w:r>
            <w:proofErr w:type="spellEnd"/>
            <w:r w:rsidR="00915D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прикази</w:t>
            </w:r>
            <w:proofErr w:type="spellEnd"/>
            <w:r w:rsidRPr="00143113">
              <w:rPr>
                <w:rFonts w:ascii="Times New Roman" w:hAnsi="Times New Roman"/>
                <w:sz w:val="20"/>
                <w:szCs w:val="20"/>
                <w:lang w:val="sr-Cyrl-CS"/>
              </w:rPr>
              <w:t>, демонстрација програмског језика, индивидуални рад.</w:t>
            </w:r>
          </w:p>
        </w:tc>
      </w:tr>
      <w:tr w:rsidR="002A3E5D" w:rsidRPr="002A3E5D" w:rsidTr="00265A98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2A3E5D" w:rsidRPr="002A3E5D" w:rsidTr="00B408CF">
        <w:trPr>
          <w:trHeight w:val="263"/>
          <w:jc w:val="center"/>
        </w:trPr>
        <w:tc>
          <w:tcPr>
            <w:tcW w:w="1642" w:type="pct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025" w:type="pct"/>
            <w:vAlign w:val="center"/>
          </w:tcPr>
          <w:p w:rsidR="002A3E5D" w:rsidRPr="002A3E5D" w:rsidRDefault="002A3E5D" w:rsidP="00B408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2A3E5D" w:rsidRDefault="002A3E5D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65A98" w:rsidRDefault="0055338B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2A3E5D"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025" w:type="pct"/>
            <w:vAlign w:val="center"/>
          </w:tcPr>
          <w:p w:rsidR="002A3E5D" w:rsidRPr="0055338B" w:rsidRDefault="008F50C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5338B">
              <w:rPr>
                <w:rFonts w:ascii="Times New Roman" w:hAnsi="Times New Roman"/>
                <w:sz w:val="20"/>
                <w:szCs w:val="20"/>
              </w:rPr>
              <w:t>1</w:t>
            </w:r>
            <w:r w:rsidR="00265A98" w:rsidRPr="0055338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55338B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2A3E5D"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55338B" w:rsidRDefault="0055338B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338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65A98" w:rsidRDefault="0055338B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2A3E5D"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025" w:type="pct"/>
            <w:vAlign w:val="center"/>
          </w:tcPr>
          <w:p w:rsidR="002A3E5D" w:rsidRPr="0055338B" w:rsidRDefault="008F50C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533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2A3E5D" w:rsidRDefault="0055338B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2A3E5D"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испт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55338B" w:rsidRDefault="0055338B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55338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65A98" w:rsidRDefault="0055338B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2A3E5D"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025" w:type="pct"/>
            <w:vAlign w:val="center"/>
          </w:tcPr>
          <w:p w:rsidR="002A3E5D" w:rsidRPr="0055338B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5338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55338B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55338B">
              <w:rPr>
                <w:rFonts w:ascii="Times New Roman" w:hAnsi="Times New Roman"/>
                <w:iCs/>
                <w:sz w:val="20"/>
                <w:szCs w:val="20"/>
              </w:rPr>
              <w:t>Презентација</w:t>
            </w:r>
            <w:proofErr w:type="spellEnd"/>
            <w:r w:rsidR="005E229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55338B">
              <w:rPr>
                <w:rFonts w:ascii="Times New Roman" w:hAnsi="Times New Roman"/>
                <w:iCs/>
                <w:sz w:val="20"/>
                <w:szCs w:val="20"/>
              </w:rPr>
              <w:t>пројекта</w:t>
            </w:r>
            <w:proofErr w:type="spellEnd"/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55338B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55338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2A3E5D" w:rsidRPr="002A3E5D" w:rsidTr="008F50C8">
        <w:trPr>
          <w:trHeight w:val="225"/>
          <w:jc w:val="center"/>
        </w:trPr>
        <w:tc>
          <w:tcPr>
            <w:tcW w:w="1642" w:type="pct"/>
            <w:vAlign w:val="center"/>
          </w:tcPr>
          <w:p w:rsidR="002A3E5D" w:rsidRPr="00265A98" w:rsidRDefault="0055338B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="002A3E5D" w:rsidRPr="002A3E5D">
              <w:rPr>
                <w:rFonts w:ascii="Times New Roman" w:hAnsi="Times New Roman"/>
                <w:sz w:val="20"/>
                <w:szCs w:val="20"/>
                <w:lang w:val="sr-Cyrl-CS"/>
              </w:rPr>
              <w:t>еминар-и</w:t>
            </w:r>
          </w:p>
        </w:tc>
        <w:tc>
          <w:tcPr>
            <w:tcW w:w="1025" w:type="pct"/>
            <w:vAlign w:val="center"/>
          </w:tcPr>
          <w:p w:rsidR="002A3E5D" w:rsidRPr="0055338B" w:rsidRDefault="00265A98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55338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:rsidR="002A3E5D" w:rsidRPr="00DD69C0" w:rsidRDefault="00DD69C0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DD69C0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2A3E5D" w:rsidRPr="00DD69C0" w:rsidRDefault="00DD69C0" w:rsidP="002A3E5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DD69C0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2A3E5D" w:rsidRPr="00FF2F7B" w:rsidRDefault="002A3E5D" w:rsidP="00A973C5">
      <w:pPr>
        <w:jc w:val="center"/>
        <w:rPr>
          <w:rFonts w:ascii="Times New Roman" w:hAnsi="Times New Roman"/>
          <w:bCs/>
        </w:rPr>
      </w:pPr>
    </w:p>
    <w:sectPr w:rsidR="002A3E5D" w:rsidRPr="00FF2F7B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567112"/>
    <w:multiLevelType w:val="hybridMultilevel"/>
    <w:tmpl w:val="586C80F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75B1B"/>
    <w:multiLevelType w:val="hybridMultilevel"/>
    <w:tmpl w:val="05AE3F70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42302"/>
    <w:multiLevelType w:val="hybridMultilevel"/>
    <w:tmpl w:val="6DBEAE0A"/>
    <w:lvl w:ilvl="0" w:tplc="8F1E18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F7AC2"/>
    <w:multiLevelType w:val="hybridMultilevel"/>
    <w:tmpl w:val="103EA09E"/>
    <w:lvl w:ilvl="0" w:tplc="8F1E18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2A3E5D"/>
    <w:rsid w:val="00000A99"/>
    <w:rsid w:val="0001328E"/>
    <w:rsid w:val="00013B25"/>
    <w:rsid w:val="000C4948"/>
    <w:rsid w:val="000F6EBA"/>
    <w:rsid w:val="00132788"/>
    <w:rsid w:val="00143113"/>
    <w:rsid w:val="0014328F"/>
    <w:rsid w:val="00164BFC"/>
    <w:rsid w:val="00265A98"/>
    <w:rsid w:val="0028586E"/>
    <w:rsid w:val="002A3E5D"/>
    <w:rsid w:val="003147E5"/>
    <w:rsid w:val="00332C5D"/>
    <w:rsid w:val="0042178C"/>
    <w:rsid w:val="00470E52"/>
    <w:rsid w:val="00534174"/>
    <w:rsid w:val="0055338B"/>
    <w:rsid w:val="005A31D8"/>
    <w:rsid w:val="005B1F4E"/>
    <w:rsid w:val="005B7F0B"/>
    <w:rsid w:val="005C16F0"/>
    <w:rsid w:val="005E2290"/>
    <w:rsid w:val="00641511"/>
    <w:rsid w:val="006934F2"/>
    <w:rsid w:val="006F0BE5"/>
    <w:rsid w:val="00775030"/>
    <w:rsid w:val="00795461"/>
    <w:rsid w:val="007C403B"/>
    <w:rsid w:val="008156E9"/>
    <w:rsid w:val="00874AAD"/>
    <w:rsid w:val="00891E3D"/>
    <w:rsid w:val="008F50C8"/>
    <w:rsid w:val="00915D01"/>
    <w:rsid w:val="009445ED"/>
    <w:rsid w:val="009506BE"/>
    <w:rsid w:val="00966BEE"/>
    <w:rsid w:val="00991799"/>
    <w:rsid w:val="00A05D87"/>
    <w:rsid w:val="00A20286"/>
    <w:rsid w:val="00A64604"/>
    <w:rsid w:val="00A973C5"/>
    <w:rsid w:val="00AB6157"/>
    <w:rsid w:val="00AD7867"/>
    <w:rsid w:val="00AD7C05"/>
    <w:rsid w:val="00B408CF"/>
    <w:rsid w:val="00B618BE"/>
    <w:rsid w:val="00B6747F"/>
    <w:rsid w:val="00B92EE6"/>
    <w:rsid w:val="00C02828"/>
    <w:rsid w:val="00C02BC9"/>
    <w:rsid w:val="00C30870"/>
    <w:rsid w:val="00C47646"/>
    <w:rsid w:val="00CD62AF"/>
    <w:rsid w:val="00D343A4"/>
    <w:rsid w:val="00D3539C"/>
    <w:rsid w:val="00D4711E"/>
    <w:rsid w:val="00D72AD7"/>
    <w:rsid w:val="00DB62A1"/>
    <w:rsid w:val="00DD69C0"/>
    <w:rsid w:val="00DF4C8D"/>
    <w:rsid w:val="00E33021"/>
    <w:rsid w:val="00EA24F3"/>
    <w:rsid w:val="00EE3D63"/>
    <w:rsid w:val="00F3178B"/>
    <w:rsid w:val="00FE166A"/>
    <w:rsid w:val="00FF2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15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6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6E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6E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6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6E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50C8"/>
    <w:pPr>
      <w:ind w:left="720"/>
      <w:contextualSpacing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12</cp:revision>
  <cp:lastPrinted>2022-06-28T08:48:00Z</cp:lastPrinted>
  <dcterms:created xsi:type="dcterms:W3CDTF">2022-06-28T06:09:00Z</dcterms:created>
  <dcterms:modified xsi:type="dcterms:W3CDTF">2022-07-06T08:20:00Z</dcterms:modified>
</cp:coreProperties>
</file>